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F1190" w:rsidRPr="00BA4B4E" w:rsidRDefault="00BF1190" w:rsidP="00BF1190">
      <w:pPr>
        <w:rPr>
          <w:rFonts w:ascii="Arial" w:hAnsi="Arial" w:cs="Arial"/>
          <w:color w:val="000000"/>
          <w:u w:val="single"/>
        </w:rPr>
      </w:pPr>
      <w:r w:rsidRPr="00BA4B4E">
        <w:rPr>
          <w:rFonts w:ascii="Arial" w:hAnsi="Arial" w:cs="Arial"/>
          <w:b/>
          <w:bCs/>
          <w:color w:val="000000"/>
          <w:u w:val="single"/>
        </w:rPr>
        <w:t>What Is ETO?</w:t>
      </w:r>
    </w:p>
    <w:p w:rsidR="007D212D" w:rsidRPr="00C5110D" w:rsidRDefault="00F81732" w:rsidP="00C5110D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iCs/>
          <w:color w:val="000000"/>
          <w:szCs w:val="24"/>
        </w:rPr>
        <w:t xml:space="preserve">Emergency Transportation Operations, or </w:t>
      </w:r>
      <w:r w:rsidR="00BF1190" w:rsidRPr="00BF1190">
        <w:rPr>
          <w:rFonts w:ascii="Arial" w:hAnsi="Arial" w:cs="Arial"/>
          <w:iCs/>
          <w:color w:val="000000"/>
          <w:szCs w:val="24"/>
        </w:rPr>
        <w:t>ETO</w:t>
      </w:r>
      <w:r>
        <w:rPr>
          <w:rFonts w:ascii="Arial" w:hAnsi="Arial" w:cs="Arial"/>
          <w:iCs/>
          <w:color w:val="000000"/>
          <w:szCs w:val="24"/>
        </w:rPr>
        <w:t>,</w:t>
      </w:r>
      <w:r w:rsidR="00BF1190" w:rsidRPr="00BF1190">
        <w:rPr>
          <w:rFonts w:ascii="Arial" w:hAnsi="Arial" w:cs="Arial"/>
          <w:iCs/>
          <w:color w:val="000000"/>
          <w:szCs w:val="24"/>
        </w:rPr>
        <w:t xml:space="preserve"> is a coordinated, performance-oriented approach to operating the transport</w:t>
      </w:r>
      <w:r w:rsidR="00C5110D">
        <w:rPr>
          <w:rFonts w:ascii="Arial" w:hAnsi="Arial" w:cs="Arial"/>
          <w:iCs/>
          <w:color w:val="000000"/>
          <w:szCs w:val="24"/>
        </w:rPr>
        <w:t xml:space="preserve">ation system during emergencies. </w:t>
      </w:r>
    </w:p>
    <w:p w:rsidR="0023592E" w:rsidRDefault="0023592E" w:rsidP="00DD3AB1">
      <w:pPr>
        <w:rPr>
          <w:rFonts w:ascii="Arial" w:hAnsi="Arial" w:cs="Arial"/>
          <w:iCs/>
          <w:color w:val="000000"/>
          <w:szCs w:val="24"/>
        </w:rPr>
      </w:pPr>
    </w:p>
    <w:p w:rsidR="0023592E" w:rsidRPr="00BA4B4E" w:rsidRDefault="0023592E" w:rsidP="00DD3AB1">
      <w:pPr>
        <w:rPr>
          <w:rFonts w:ascii="Arial" w:hAnsi="Arial" w:cs="Arial"/>
          <w:b/>
          <w:bCs/>
          <w:color w:val="000000"/>
          <w:u w:val="single"/>
        </w:rPr>
      </w:pPr>
      <w:r w:rsidRPr="00BA4B4E">
        <w:rPr>
          <w:rFonts w:ascii="Arial" w:hAnsi="Arial" w:cs="Arial"/>
          <w:b/>
          <w:bCs/>
          <w:color w:val="000000"/>
          <w:u w:val="single"/>
        </w:rPr>
        <w:t>What is an ETO event?</w:t>
      </w:r>
    </w:p>
    <w:p w:rsidR="00C5110D" w:rsidRPr="00C5110D" w:rsidRDefault="0023592E" w:rsidP="00C5110D">
      <w:pPr>
        <w:autoSpaceDE w:val="0"/>
        <w:autoSpaceDN w:val="0"/>
        <w:adjustRightInd w:val="0"/>
        <w:rPr>
          <w:rFonts w:ascii="Arial" w:hAnsi="Arial" w:cs="Arial"/>
        </w:rPr>
      </w:pPr>
      <w:r w:rsidRPr="00CB5F76">
        <w:rPr>
          <w:rFonts w:ascii="Arial" w:hAnsi="Arial" w:cs="Arial"/>
        </w:rPr>
        <w:t xml:space="preserve">An </w:t>
      </w:r>
      <w:r w:rsidRPr="00BA4B4E">
        <w:rPr>
          <w:rFonts w:ascii="Arial" w:hAnsi="Arial" w:cs="Arial"/>
          <w:b/>
        </w:rPr>
        <w:t>exceptional</w:t>
      </w:r>
      <w:r w:rsidRPr="00CB5F76">
        <w:rPr>
          <w:rFonts w:ascii="Arial" w:hAnsi="Arial" w:cs="Arial"/>
        </w:rPr>
        <w:t xml:space="preserve"> event that disrupts the</w:t>
      </w:r>
      <w:r>
        <w:rPr>
          <w:rFonts w:ascii="Arial" w:hAnsi="Arial" w:cs="Arial"/>
        </w:rPr>
        <w:t xml:space="preserve"> normal flow of traffic on the i</w:t>
      </w:r>
      <w:r w:rsidRPr="00CB5F76">
        <w:rPr>
          <w:rFonts w:ascii="Arial" w:hAnsi="Arial" w:cs="Arial"/>
        </w:rPr>
        <w:t xml:space="preserve">nterstate system or state highway network that requires an </w:t>
      </w:r>
      <w:r w:rsidRPr="00BA4B4E">
        <w:rPr>
          <w:rFonts w:ascii="Arial" w:hAnsi="Arial" w:cs="Arial"/>
          <w:b/>
        </w:rPr>
        <w:t>extreme</w:t>
      </w:r>
      <w:r w:rsidRPr="00CB5F76">
        <w:rPr>
          <w:rFonts w:ascii="Arial" w:hAnsi="Arial" w:cs="Arial"/>
        </w:rPr>
        <w:t xml:space="preserve"> response beyond nor</w:t>
      </w:r>
      <w:r>
        <w:rPr>
          <w:rFonts w:ascii="Arial" w:hAnsi="Arial" w:cs="Arial"/>
        </w:rPr>
        <w:t>mal daily operating procedures/</w:t>
      </w:r>
      <w:r w:rsidRPr="00CB5F76">
        <w:rPr>
          <w:rFonts w:ascii="Arial" w:hAnsi="Arial" w:cs="Arial"/>
        </w:rPr>
        <w:t>capabilities or an event that disrupts normal operations/capabilitie</w:t>
      </w:r>
      <w:r>
        <w:rPr>
          <w:rFonts w:ascii="Arial" w:hAnsi="Arial" w:cs="Arial"/>
        </w:rPr>
        <w:t>s of a WisDOT business facility.</w:t>
      </w:r>
      <w:r w:rsidR="00C5110D">
        <w:rPr>
          <w:rFonts w:ascii="Arial" w:hAnsi="Arial" w:cs="Arial"/>
        </w:rPr>
        <w:t xml:space="preserve"> </w:t>
      </w:r>
      <w:r w:rsidR="00C5110D">
        <w:rPr>
          <w:rFonts w:ascii="Arial" w:hAnsi="Arial" w:cs="Arial"/>
          <w:iCs/>
          <w:color w:val="000000"/>
          <w:szCs w:val="24"/>
        </w:rPr>
        <w:t xml:space="preserve">These events could be </w:t>
      </w:r>
      <w:r w:rsidR="00C5110D" w:rsidRPr="00BD4715">
        <w:rPr>
          <w:rFonts w:ascii="Arial" w:hAnsi="Arial" w:cs="Arial"/>
        </w:rPr>
        <w:t>associated with severe weather, traffic incidents, construction, planned</w:t>
      </w:r>
      <w:r w:rsidR="00C5110D">
        <w:rPr>
          <w:rFonts w:ascii="Arial" w:hAnsi="Arial" w:cs="Arial"/>
        </w:rPr>
        <w:t xml:space="preserve"> </w:t>
      </w:r>
      <w:r w:rsidR="00C5110D" w:rsidRPr="00BD4715">
        <w:rPr>
          <w:rFonts w:ascii="Arial" w:hAnsi="Arial" w:cs="Arial"/>
        </w:rPr>
        <w:t>special events, threats to security</w:t>
      </w:r>
      <w:r w:rsidR="00C5110D">
        <w:rPr>
          <w:rFonts w:ascii="Arial" w:hAnsi="Arial" w:cs="Arial"/>
        </w:rPr>
        <w:t xml:space="preserve">, or any other unplanned </w:t>
      </w:r>
      <w:r w:rsidR="00BA4B4E">
        <w:rPr>
          <w:rFonts w:ascii="Arial" w:hAnsi="Arial" w:cs="Arial"/>
        </w:rPr>
        <w:t>event</w:t>
      </w:r>
      <w:r w:rsidR="00C5110D">
        <w:rPr>
          <w:rFonts w:ascii="Arial" w:hAnsi="Arial" w:cs="Arial"/>
        </w:rPr>
        <w:t>.</w:t>
      </w:r>
    </w:p>
    <w:p w:rsidR="0023592E" w:rsidRDefault="0023592E" w:rsidP="0023592E">
      <w:pPr>
        <w:rPr>
          <w:rFonts w:ascii="Arial" w:hAnsi="Arial" w:cs="Arial"/>
        </w:rPr>
      </w:pPr>
    </w:p>
    <w:p w:rsidR="00BA4B4E" w:rsidRDefault="00BA4B4E" w:rsidP="0023592E">
      <w:pPr>
        <w:rPr>
          <w:rFonts w:ascii="Arial" w:hAnsi="Arial" w:cs="Arial"/>
        </w:rPr>
      </w:pPr>
      <w:r w:rsidRPr="00BA4B4E">
        <w:rPr>
          <w:rFonts w:ascii="Arial" w:hAnsi="Arial" w:cs="Arial"/>
          <w:noProof/>
          <w:lang w:eastAsia="en-US"/>
        </w:rPr>
        <w:drawing>
          <wp:inline distT="0" distB="0" distL="0" distR="0">
            <wp:extent cx="5762625" cy="2324100"/>
            <wp:effectExtent l="19050" t="19050" r="28575" b="19050"/>
            <wp:docPr id="1" name="Picture 1" descr="Pictur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Picture1.jp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32410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A4B4E" w:rsidRDefault="00BA4B4E" w:rsidP="0023592E">
      <w:pPr>
        <w:rPr>
          <w:rFonts w:ascii="Arial" w:hAnsi="Arial" w:cs="Arial"/>
        </w:rPr>
      </w:pPr>
    </w:p>
    <w:p w:rsidR="00BA4B4E" w:rsidRDefault="00BA4B4E" w:rsidP="0023592E">
      <w:pPr>
        <w:rPr>
          <w:rFonts w:ascii="Arial" w:hAnsi="Arial" w:cs="Arial"/>
        </w:rPr>
      </w:pPr>
      <w:r w:rsidRPr="00BA4B4E">
        <w:rPr>
          <w:rFonts w:ascii="Arial" w:hAnsi="Arial" w:cs="Arial"/>
          <w:noProof/>
          <w:lang w:eastAsia="en-US"/>
        </w:rPr>
        <w:drawing>
          <wp:inline distT="0" distB="0" distL="0" distR="0">
            <wp:extent cx="5762625" cy="2305050"/>
            <wp:effectExtent l="19050" t="19050" r="28575" b="19050"/>
            <wp:docPr id="5" name="Picture 2" descr="winter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winter36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rcRect l="9024" t="32856" r="5376" b="2088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3050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A4B4E" w:rsidRDefault="00BA4B4E" w:rsidP="00C5110D">
      <w:pPr>
        <w:autoSpaceDE w:val="0"/>
        <w:autoSpaceDN w:val="0"/>
        <w:adjustRightInd w:val="0"/>
        <w:rPr>
          <w:rFonts w:ascii="Arial" w:hAnsi="Arial" w:cs="Arial"/>
        </w:rPr>
      </w:pPr>
    </w:p>
    <w:p w:rsidR="00C5110D" w:rsidRDefault="00C5110D" w:rsidP="00BA4B4E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</w:rPr>
        <w:t xml:space="preserve">WisDOT </w:t>
      </w:r>
      <w:r w:rsidRPr="00BD4715">
        <w:rPr>
          <w:rFonts w:ascii="Arial" w:hAnsi="Arial" w:cs="Arial"/>
        </w:rPr>
        <w:t>utilize</w:t>
      </w:r>
      <w:r>
        <w:rPr>
          <w:rFonts w:ascii="Arial" w:hAnsi="Arial" w:cs="Arial"/>
        </w:rPr>
        <w:t>s</w:t>
      </w:r>
      <w:r w:rsidRPr="00BD4715">
        <w:rPr>
          <w:rFonts w:ascii="Arial" w:hAnsi="Arial" w:cs="Arial"/>
        </w:rPr>
        <w:t xml:space="preserve"> the Incident Command System (ICS)</w:t>
      </w:r>
      <w:r>
        <w:rPr>
          <w:rFonts w:ascii="Arial" w:hAnsi="Arial" w:cs="Arial"/>
        </w:rPr>
        <w:t xml:space="preserve"> </w:t>
      </w:r>
      <w:r w:rsidRPr="00BD4715">
        <w:rPr>
          <w:rFonts w:ascii="Arial" w:hAnsi="Arial" w:cs="Arial"/>
        </w:rPr>
        <w:t xml:space="preserve">as a structure for </w:t>
      </w:r>
      <w:r>
        <w:rPr>
          <w:rFonts w:ascii="Arial" w:hAnsi="Arial" w:cs="Arial"/>
        </w:rPr>
        <w:t>ETO event</w:t>
      </w:r>
      <w:r w:rsidRPr="00BD4715">
        <w:rPr>
          <w:rFonts w:ascii="Arial" w:hAnsi="Arial" w:cs="Arial"/>
        </w:rPr>
        <w:t xml:space="preserve"> response </w:t>
      </w:r>
      <w:r>
        <w:rPr>
          <w:rFonts w:ascii="Arial" w:hAnsi="Arial" w:cs="Arial"/>
        </w:rPr>
        <w:t xml:space="preserve">recovery efforts. </w:t>
      </w:r>
      <w:r w:rsidRPr="00BD4715">
        <w:rPr>
          <w:rFonts w:ascii="Arial" w:hAnsi="Arial" w:cs="Arial"/>
        </w:rPr>
        <w:t xml:space="preserve">WisDOT will not consider their response and recovery efforts </w:t>
      </w:r>
      <w:r w:rsidRPr="00BD4715">
        <w:rPr>
          <w:rFonts w:ascii="Arial" w:hAnsi="Arial" w:cs="Arial"/>
        </w:rPr>
        <w:lastRenderedPageBreak/>
        <w:t>complete until a formal After</w:t>
      </w:r>
      <w:r>
        <w:rPr>
          <w:rFonts w:ascii="Arial" w:hAnsi="Arial" w:cs="Arial"/>
        </w:rPr>
        <w:t xml:space="preserve"> </w:t>
      </w:r>
      <w:r w:rsidRPr="00BD4715">
        <w:rPr>
          <w:rFonts w:ascii="Arial" w:hAnsi="Arial" w:cs="Arial"/>
        </w:rPr>
        <w:t>Action Review (AAR) is conducted for the incident.</w:t>
      </w:r>
      <w:r>
        <w:rPr>
          <w:rFonts w:ascii="Arial" w:hAnsi="Arial" w:cs="Arial"/>
        </w:rPr>
        <w:t xml:space="preserve"> </w:t>
      </w:r>
      <w:r w:rsidRPr="00BD4715">
        <w:rPr>
          <w:rFonts w:ascii="Arial" w:hAnsi="Arial" w:cs="Arial"/>
        </w:rPr>
        <w:t>AAR results will be used to identify</w:t>
      </w:r>
      <w:r w:rsidR="00BA4B4E">
        <w:rPr>
          <w:rFonts w:ascii="Arial" w:hAnsi="Arial" w:cs="Arial"/>
        </w:rPr>
        <w:t xml:space="preserve"> </w:t>
      </w:r>
      <w:r w:rsidRPr="00BD4715">
        <w:rPr>
          <w:rFonts w:ascii="Arial" w:hAnsi="Arial" w:cs="Arial"/>
        </w:rPr>
        <w:t>needs and lessons learned from the Department’s response and will be integrated into a</w:t>
      </w:r>
      <w:r w:rsidR="00BA4B4E">
        <w:rPr>
          <w:rFonts w:ascii="Arial" w:hAnsi="Arial" w:cs="Arial"/>
        </w:rPr>
        <w:t xml:space="preserve"> </w:t>
      </w:r>
      <w:r w:rsidRPr="00BD4715">
        <w:rPr>
          <w:rFonts w:ascii="Arial" w:hAnsi="Arial" w:cs="Arial"/>
        </w:rPr>
        <w:t>continuous performance-based ETO improvement process.</w:t>
      </w:r>
    </w:p>
    <w:p w:rsidR="00D84A6A" w:rsidRDefault="00D84A6A" w:rsidP="00D84A6A">
      <w:pPr>
        <w:rPr>
          <w:rFonts w:ascii="Arial" w:hAnsi="Arial" w:cs="Arial"/>
        </w:rPr>
      </w:pPr>
    </w:p>
    <w:p w:rsidR="00D84A6A" w:rsidRDefault="00D84A6A" w:rsidP="00D84A6A">
      <w:pPr>
        <w:rPr>
          <w:rFonts w:ascii="Arial" w:hAnsi="Arial" w:cs="Arial"/>
          <w:b/>
          <w:bCs/>
          <w:color w:val="000000"/>
          <w:u w:val="single"/>
        </w:rPr>
      </w:pPr>
      <w:r w:rsidRPr="00D84A6A">
        <w:rPr>
          <w:rFonts w:ascii="Arial" w:hAnsi="Arial" w:cs="Arial"/>
          <w:b/>
          <w:bCs/>
          <w:color w:val="000000"/>
          <w:u w:val="single"/>
        </w:rPr>
        <w:t xml:space="preserve">Triggers for a possible ETO response: </w:t>
      </w:r>
    </w:p>
    <w:p w:rsidR="00D84A6A" w:rsidRPr="00D84A6A" w:rsidRDefault="00D84A6A" w:rsidP="00D84A6A">
      <w:pPr>
        <w:rPr>
          <w:rFonts w:ascii="Arial" w:hAnsi="Arial" w:cs="Arial"/>
          <w:b/>
          <w:bCs/>
          <w:color w:val="000000"/>
          <w:u w:val="single"/>
        </w:rPr>
      </w:pPr>
    </w:p>
    <w:p w:rsidR="003520F3" w:rsidRPr="00D84A6A" w:rsidRDefault="00E675EC" w:rsidP="00D84A6A">
      <w:pPr>
        <w:numPr>
          <w:ilvl w:val="0"/>
          <w:numId w:val="13"/>
        </w:numPr>
        <w:rPr>
          <w:rFonts w:ascii="Arial" w:hAnsi="Arial" w:cs="Arial"/>
          <w:bCs/>
          <w:color w:val="000000"/>
        </w:rPr>
      </w:pPr>
      <w:r w:rsidRPr="00D84A6A">
        <w:rPr>
          <w:rFonts w:ascii="Arial" w:hAnsi="Arial" w:cs="Arial"/>
          <w:bCs/>
          <w:color w:val="000000"/>
        </w:rPr>
        <w:t>Traffic incident, e.g. crash, spill or major highway closure/blockage</w:t>
      </w:r>
    </w:p>
    <w:p w:rsidR="003520F3" w:rsidRPr="00D84A6A" w:rsidRDefault="00E675EC" w:rsidP="00D84A6A">
      <w:pPr>
        <w:numPr>
          <w:ilvl w:val="0"/>
          <w:numId w:val="13"/>
        </w:numPr>
        <w:rPr>
          <w:rFonts w:ascii="Arial" w:hAnsi="Arial" w:cs="Arial"/>
          <w:bCs/>
          <w:color w:val="000000"/>
        </w:rPr>
      </w:pPr>
      <w:r w:rsidRPr="00D84A6A">
        <w:rPr>
          <w:rFonts w:ascii="Arial" w:hAnsi="Arial" w:cs="Arial"/>
          <w:bCs/>
          <w:color w:val="000000"/>
        </w:rPr>
        <w:t>Infrastructure-related incidents and failures</w:t>
      </w:r>
    </w:p>
    <w:p w:rsidR="003520F3" w:rsidRPr="00D84A6A" w:rsidRDefault="00E675EC" w:rsidP="00D84A6A">
      <w:pPr>
        <w:numPr>
          <w:ilvl w:val="0"/>
          <w:numId w:val="13"/>
        </w:numPr>
        <w:rPr>
          <w:rFonts w:ascii="Arial" w:hAnsi="Arial" w:cs="Arial"/>
          <w:bCs/>
          <w:color w:val="000000"/>
        </w:rPr>
      </w:pPr>
      <w:r w:rsidRPr="00D84A6A">
        <w:rPr>
          <w:rFonts w:ascii="Arial" w:hAnsi="Arial" w:cs="Arial"/>
          <w:bCs/>
          <w:color w:val="000000"/>
        </w:rPr>
        <w:t>Mass evacuation</w:t>
      </w:r>
    </w:p>
    <w:p w:rsidR="003520F3" w:rsidRPr="00D84A6A" w:rsidRDefault="00E675EC" w:rsidP="00D84A6A">
      <w:pPr>
        <w:numPr>
          <w:ilvl w:val="0"/>
          <w:numId w:val="13"/>
        </w:numPr>
        <w:rPr>
          <w:rFonts w:ascii="Arial" w:hAnsi="Arial" w:cs="Arial"/>
          <w:bCs/>
          <w:color w:val="000000"/>
        </w:rPr>
      </w:pPr>
      <w:r w:rsidRPr="00D84A6A">
        <w:rPr>
          <w:rFonts w:ascii="Arial" w:hAnsi="Arial" w:cs="Arial"/>
          <w:bCs/>
          <w:color w:val="000000"/>
        </w:rPr>
        <w:t>Natural disasters, e.g. severe weather event, tornado, flooding, fire, etc.</w:t>
      </w:r>
    </w:p>
    <w:p w:rsidR="003520F3" w:rsidRPr="00D84A6A" w:rsidRDefault="00E675EC" w:rsidP="00D84A6A">
      <w:pPr>
        <w:numPr>
          <w:ilvl w:val="0"/>
          <w:numId w:val="13"/>
        </w:numPr>
        <w:rPr>
          <w:rFonts w:ascii="Arial" w:hAnsi="Arial" w:cs="Arial"/>
          <w:bCs/>
          <w:color w:val="000000"/>
        </w:rPr>
      </w:pPr>
      <w:r w:rsidRPr="00D84A6A">
        <w:rPr>
          <w:rFonts w:ascii="Arial" w:hAnsi="Arial" w:cs="Arial"/>
          <w:bCs/>
          <w:color w:val="000000"/>
        </w:rPr>
        <w:t>Act of terrorism or violence against employees or the transportation infrastructure</w:t>
      </w:r>
    </w:p>
    <w:p w:rsidR="003520F3" w:rsidRPr="00D84A6A" w:rsidRDefault="00E675EC" w:rsidP="00D84A6A">
      <w:pPr>
        <w:numPr>
          <w:ilvl w:val="0"/>
          <w:numId w:val="13"/>
        </w:numPr>
        <w:rPr>
          <w:rFonts w:ascii="Arial" w:hAnsi="Arial" w:cs="Arial"/>
          <w:bCs/>
          <w:color w:val="000000"/>
        </w:rPr>
      </w:pPr>
      <w:r w:rsidRPr="00D84A6A">
        <w:rPr>
          <w:rFonts w:ascii="Arial" w:hAnsi="Arial" w:cs="Arial"/>
          <w:bCs/>
          <w:color w:val="000000"/>
        </w:rPr>
        <w:t>Pandemic or other public health crisis</w:t>
      </w:r>
    </w:p>
    <w:p w:rsidR="0042180A" w:rsidRDefault="0042180A" w:rsidP="00D84A6A">
      <w:pPr>
        <w:rPr>
          <w:rFonts w:ascii="Arial" w:hAnsi="Arial" w:cs="Arial"/>
        </w:rPr>
      </w:pPr>
    </w:p>
    <w:p w:rsidR="00D84A6A" w:rsidRDefault="00032843" w:rsidP="00D84A6A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</w:rPr>
        <w:t>The presence of 1 or more</w:t>
      </w:r>
      <w:r w:rsidRPr="00CB5F76">
        <w:rPr>
          <w:rFonts w:ascii="Arial" w:hAnsi="Arial" w:cs="Arial"/>
        </w:rPr>
        <w:t xml:space="preserve"> triggers </w:t>
      </w:r>
      <w:r>
        <w:rPr>
          <w:rFonts w:ascii="Arial" w:hAnsi="Arial" w:cs="Arial"/>
        </w:rPr>
        <w:t>does</w:t>
      </w:r>
      <w:r w:rsidR="0042180A">
        <w:rPr>
          <w:rFonts w:ascii="Arial" w:hAnsi="Arial" w:cs="Arial"/>
        </w:rPr>
        <w:t xml:space="preserve"> not </w:t>
      </w:r>
      <w:r w:rsidR="0042180A" w:rsidRPr="00CB5F76">
        <w:rPr>
          <w:rFonts w:ascii="Arial" w:hAnsi="Arial" w:cs="Arial"/>
        </w:rPr>
        <w:t xml:space="preserve">positively </w:t>
      </w:r>
      <w:r>
        <w:rPr>
          <w:rFonts w:ascii="Arial" w:hAnsi="Arial" w:cs="Arial"/>
        </w:rPr>
        <w:t>identify an incident as an ETO e</w:t>
      </w:r>
      <w:r w:rsidR="0042180A" w:rsidRPr="00CB5F76">
        <w:rPr>
          <w:rFonts w:ascii="Arial" w:hAnsi="Arial" w:cs="Arial"/>
        </w:rPr>
        <w:t>vent</w:t>
      </w:r>
      <w:r w:rsidR="0042180A">
        <w:rPr>
          <w:rFonts w:ascii="Arial" w:hAnsi="Arial" w:cs="Arial"/>
        </w:rPr>
        <w:t xml:space="preserve">. Every event is </w:t>
      </w:r>
      <w:r>
        <w:rPr>
          <w:rFonts w:ascii="Arial" w:hAnsi="Arial" w:cs="Arial"/>
        </w:rPr>
        <w:t>different, and whether or not it qualifies as an ETO event must be determined on a case by case basis.</w:t>
      </w:r>
    </w:p>
    <w:p w:rsidR="0042180A" w:rsidRDefault="0042180A" w:rsidP="00D84A6A">
      <w:pPr>
        <w:rPr>
          <w:rFonts w:ascii="Arial" w:hAnsi="Arial" w:cs="Arial"/>
          <w:b/>
          <w:bCs/>
          <w:color w:val="000000"/>
          <w:u w:val="single"/>
        </w:rPr>
      </w:pPr>
    </w:p>
    <w:p w:rsidR="00BA4B4E" w:rsidRDefault="00D84A6A" w:rsidP="00D84A6A">
      <w:pPr>
        <w:rPr>
          <w:rFonts w:ascii="Arial" w:hAnsi="Arial" w:cs="Arial"/>
          <w:b/>
          <w:bCs/>
          <w:color w:val="000000"/>
          <w:u w:val="single"/>
        </w:rPr>
      </w:pPr>
      <w:r w:rsidRPr="00D84A6A">
        <w:rPr>
          <w:rFonts w:ascii="Arial" w:hAnsi="Arial" w:cs="Arial"/>
          <w:b/>
          <w:bCs/>
          <w:color w:val="000000"/>
          <w:u w:val="single"/>
        </w:rPr>
        <w:t>ETO event</w:t>
      </w:r>
      <w:r>
        <w:rPr>
          <w:rFonts w:ascii="Arial" w:hAnsi="Arial" w:cs="Arial"/>
          <w:b/>
          <w:bCs/>
          <w:color w:val="000000"/>
          <w:u w:val="single"/>
        </w:rPr>
        <w:t xml:space="preserve"> response staff</w:t>
      </w:r>
      <w:r w:rsidRPr="00D84A6A">
        <w:rPr>
          <w:rFonts w:ascii="Arial" w:hAnsi="Arial" w:cs="Arial"/>
          <w:b/>
          <w:bCs/>
          <w:color w:val="000000"/>
          <w:u w:val="single"/>
        </w:rPr>
        <w:t>:</w:t>
      </w:r>
    </w:p>
    <w:p w:rsidR="0042180A" w:rsidRPr="00D84A6A" w:rsidRDefault="0042180A" w:rsidP="00D84A6A">
      <w:pPr>
        <w:rPr>
          <w:rFonts w:ascii="Arial" w:hAnsi="Arial" w:cs="Arial"/>
          <w:b/>
          <w:bCs/>
          <w:color w:val="000000"/>
          <w:u w:val="single"/>
        </w:rPr>
      </w:pPr>
    </w:p>
    <w:p w:rsidR="0023592E" w:rsidRDefault="00BA4B4E" w:rsidP="00C5110D">
      <w:pPr>
        <w:autoSpaceDE w:val="0"/>
        <w:autoSpaceDN w:val="0"/>
        <w:adjustRightInd w:val="0"/>
        <w:rPr>
          <w:rFonts w:ascii="Arial" w:hAnsi="Arial" w:cs="Arial"/>
        </w:rPr>
      </w:pPr>
      <w:r>
        <w:rPr>
          <w:rFonts w:ascii="Arial" w:hAnsi="Arial" w:cs="Arial"/>
          <w:noProof/>
          <w:lang w:eastAsia="en-US"/>
        </w:rPr>
        <w:drawing>
          <wp:inline distT="0" distB="0" distL="0" distR="0">
            <wp:extent cx="5662507" cy="3409950"/>
            <wp:effectExtent l="19050" t="0" r="0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6667" t="25285" r="10139" b="12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116" cy="3410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4A6A" w:rsidRDefault="00D84A6A" w:rsidP="00D84A6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:rsidR="002F73CD" w:rsidRDefault="002F73CD" w:rsidP="00D84A6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:rsidR="002F73CD" w:rsidRDefault="002F73CD" w:rsidP="00D84A6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:rsidR="003520F3" w:rsidRPr="00D84A6A" w:rsidRDefault="00E675EC" w:rsidP="00D84A6A">
      <w:p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  <w:b/>
          <w:bCs/>
        </w:rPr>
        <w:lastRenderedPageBreak/>
        <w:t xml:space="preserve">First Responders: </w:t>
      </w:r>
      <w:r w:rsidRPr="00D84A6A">
        <w:rPr>
          <w:rFonts w:ascii="Arial" w:hAnsi="Arial" w:cs="Arial"/>
        </w:rPr>
        <w:t>Pe</w:t>
      </w:r>
      <w:r w:rsidR="00D84A6A">
        <w:rPr>
          <w:rFonts w:ascii="Arial" w:hAnsi="Arial" w:cs="Arial"/>
        </w:rPr>
        <w:t xml:space="preserve">rsonnel at emergency scene who </w:t>
      </w:r>
      <w:r w:rsidRPr="00D84A6A">
        <w:rPr>
          <w:rFonts w:ascii="Arial" w:hAnsi="Arial" w:cs="Arial"/>
        </w:rPr>
        <w:t xml:space="preserve">evaluate and determine if a there is a potential to escalate  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State Patrol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Regional Incident Management Coordinator (RIMC)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Specialized technical inspectors</w:t>
      </w:r>
    </w:p>
    <w:p w:rsidR="00D84A6A" w:rsidRDefault="00D84A6A" w:rsidP="00D84A6A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:rsidR="003520F3" w:rsidRPr="00D84A6A" w:rsidRDefault="00E675EC" w:rsidP="00D84A6A">
      <w:p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  <w:b/>
          <w:bCs/>
        </w:rPr>
        <w:t xml:space="preserve">Contact Personnel: </w:t>
      </w:r>
      <w:r w:rsidRPr="00D84A6A">
        <w:rPr>
          <w:rFonts w:ascii="Arial" w:hAnsi="Arial" w:cs="Arial"/>
        </w:rPr>
        <w:t xml:space="preserve">Staff with the authority to escalate a response to an emergency  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State Patrol Duty Sergeant/Communications Center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 xml:space="preserve"> STOC</w:t>
      </w:r>
    </w:p>
    <w:p w:rsidR="0042180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 xml:space="preserve"> Regional Duty Officer (RDO)</w:t>
      </w:r>
    </w:p>
    <w:p w:rsidR="00032843" w:rsidRDefault="00032843" w:rsidP="00032843">
      <w:pPr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:rsidR="003520F3" w:rsidRPr="00032843" w:rsidRDefault="00E675EC" w:rsidP="00032843">
      <w:pPr>
        <w:autoSpaceDE w:val="0"/>
        <w:autoSpaceDN w:val="0"/>
        <w:adjustRightInd w:val="0"/>
        <w:rPr>
          <w:rFonts w:ascii="Arial" w:hAnsi="Arial" w:cs="Arial"/>
        </w:rPr>
      </w:pPr>
      <w:r w:rsidRPr="00032843">
        <w:rPr>
          <w:rFonts w:ascii="Arial" w:hAnsi="Arial" w:cs="Arial"/>
          <w:b/>
          <w:bCs/>
        </w:rPr>
        <w:t>Liaisons:</w:t>
      </w:r>
      <w:r w:rsidR="00D84A6A" w:rsidRPr="00032843">
        <w:rPr>
          <w:rFonts w:ascii="Arial" w:hAnsi="Arial" w:cs="Arial"/>
        </w:rPr>
        <w:t xml:space="preserve"> Personnel who coordinate </w:t>
      </w:r>
      <w:r w:rsidRPr="00032843">
        <w:rPr>
          <w:rFonts w:ascii="Arial" w:hAnsi="Arial" w:cs="Arial"/>
        </w:rPr>
        <w:t>with other emergency response agencies/divisions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Wisconsin Highway Emergency Liaison Person (</w:t>
      </w:r>
      <w:proofErr w:type="spellStart"/>
      <w:r w:rsidRPr="00D84A6A">
        <w:rPr>
          <w:rFonts w:ascii="Arial" w:hAnsi="Arial" w:cs="Arial"/>
        </w:rPr>
        <w:t>WisHELPer</w:t>
      </w:r>
      <w:proofErr w:type="spellEnd"/>
      <w:r w:rsidRPr="00D84A6A">
        <w:rPr>
          <w:rFonts w:ascii="Arial" w:hAnsi="Arial" w:cs="Arial"/>
        </w:rPr>
        <w:t>)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Responds to state EOC, when activated</w:t>
      </w:r>
    </w:p>
    <w:p w:rsidR="00D84A6A" w:rsidRDefault="00D84A6A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>Statewid</w:t>
      </w:r>
      <w:r>
        <w:rPr>
          <w:rFonts w:ascii="Arial" w:hAnsi="Arial" w:cs="Arial"/>
        </w:rPr>
        <w:t>e Bureaus Duty Officer (SWBDO)</w:t>
      </w:r>
    </w:p>
    <w:p w:rsidR="00D84A6A" w:rsidRDefault="00D84A6A" w:rsidP="00D84A6A">
      <w:pPr>
        <w:autoSpaceDE w:val="0"/>
        <w:autoSpaceDN w:val="0"/>
        <w:adjustRightInd w:val="0"/>
        <w:rPr>
          <w:rFonts w:ascii="Arial" w:hAnsi="Arial" w:cs="Arial"/>
        </w:rPr>
      </w:pPr>
    </w:p>
    <w:p w:rsidR="003520F3" w:rsidRPr="00D84A6A" w:rsidRDefault="00E675EC" w:rsidP="00D84A6A">
      <w:p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  <w:b/>
          <w:bCs/>
        </w:rPr>
        <w:t xml:space="preserve">Communications Personnel: </w:t>
      </w:r>
      <w:r w:rsidRPr="00D84A6A">
        <w:rPr>
          <w:rFonts w:ascii="Arial" w:hAnsi="Arial" w:cs="Arial"/>
        </w:rPr>
        <w:t xml:space="preserve">Provides information to the public and media 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 xml:space="preserve">Office of Public Affairs (OPA) </w:t>
      </w:r>
    </w:p>
    <w:p w:rsidR="003520F3" w:rsidRPr="00D84A6A" w:rsidRDefault="00E675EC" w:rsidP="00D84A6A">
      <w:pPr>
        <w:pStyle w:val="ListParagraph"/>
        <w:numPr>
          <w:ilvl w:val="0"/>
          <w:numId w:val="7"/>
        </w:numPr>
        <w:autoSpaceDE w:val="0"/>
        <w:autoSpaceDN w:val="0"/>
        <w:adjustRightInd w:val="0"/>
        <w:rPr>
          <w:rFonts w:ascii="Arial" w:hAnsi="Arial" w:cs="Arial"/>
        </w:rPr>
      </w:pPr>
      <w:r w:rsidRPr="00D84A6A">
        <w:rPr>
          <w:rFonts w:ascii="Arial" w:hAnsi="Arial" w:cs="Arial"/>
        </w:rPr>
        <w:t xml:space="preserve">Regional Communication Managers (RCM) </w:t>
      </w:r>
    </w:p>
    <w:p w:rsidR="00D84A6A" w:rsidRPr="00D84A6A" w:rsidRDefault="00D84A6A" w:rsidP="00D84A6A">
      <w:pPr>
        <w:autoSpaceDE w:val="0"/>
        <w:autoSpaceDN w:val="0"/>
        <w:adjustRightInd w:val="0"/>
        <w:rPr>
          <w:rFonts w:ascii="Arial" w:hAnsi="Arial" w:cs="Arial"/>
        </w:rPr>
      </w:pPr>
    </w:p>
    <w:sectPr w:rsidR="00D84A6A" w:rsidRPr="00D84A6A" w:rsidSect="002F73CD">
      <w:headerReference w:type="default" r:id="rId14"/>
      <w:foot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75EC" w:rsidRDefault="00E675EC" w:rsidP="00DA459E">
      <w:r>
        <w:separator/>
      </w:r>
    </w:p>
  </w:endnote>
  <w:endnote w:type="continuationSeparator" w:id="0">
    <w:p w:rsidR="00E675EC" w:rsidRDefault="00E675EC" w:rsidP="00DA459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73CD" w:rsidRPr="002F73CD" w:rsidRDefault="000C585F" w:rsidP="002F73CD">
    <w:pPr>
      <w:pBdr>
        <w:bottom w:val="single" w:sz="6" w:space="1" w:color="auto"/>
      </w:pBdr>
      <w:tabs>
        <w:tab w:val="center" w:pos="4680"/>
        <w:tab w:val="right" w:pos="9360"/>
      </w:tabs>
      <w:suppressAutoHyphens w:val="0"/>
      <w:rPr>
        <w:rFonts w:asciiTheme="minorHAnsi" w:eastAsiaTheme="minorHAnsi" w:hAnsiTheme="minorHAnsi" w:cstheme="minorBidi"/>
        <w:sz w:val="22"/>
        <w:szCs w:val="22"/>
        <w:lang w:eastAsia="en-US"/>
      </w:rPr>
    </w:pPr>
    <w:r>
      <w:rPr>
        <w:rFonts w:asciiTheme="minorHAnsi" w:eastAsiaTheme="minorHAnsi" w:hAnsiTheme="minorHAnsi" w:cstheme="minorBidi"/>
        <w:noProof/>
        <w:sz w:val="22"/>
        <w:szCs w:val="22"/>
        <w:lang w:eastAsia="zh-TW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00" type="#_x0000_t202" style="position:absolute;margin-left:389.85pt;margin-top:14.3pt;width:80.4pt;height:22.5pt;z-index:251658752;mso-width-relative:margin;mso-height-relative:margin" fillcolor="#039" strokecolor="#c00">
          <v:textbox style="mso-next-textbox:#_x0000_s4100">
            <w:txbxContent>
              <w:p w:rsidR="002F73CD" w:rsidRPr="005C0D21" w:rsidRDefault="002F73CD" w:rsidP="002F73CD">
                <w:pPr>
                  <w:jc w:val="center"/>
                  <w:rPr>
                    <w:rFonts w:asciiTheme="minorHAnsi" w:hAnsiTheme="minorHAnsi"/>
                    <w:b/>
                    <w:szCs w:val="24"/>
                  </w:rPr>
                </w:pPr>
                <w:r w:rsidRPr="005C0D21">
                  <w:rPr>
                    <w:rFonts w:asciiTheme="minorHAnsi" w:hAnsiTheme="minorHAnsi"/>
                    <w:b/>
                    <w:szCs w:val="24"/>
                  </w:rPr>
                  <w:t>Section 9.B</w:t>
                </w:r>
              </w:p>
            </w:txbxContent>
          </v:textbox>
        </v:shape>
      </w:pict>
    </w:r>
  </w:p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3258"/>
      <w:gridCol w:w="3126"/>
      <w:gridCol w:w="3192"/>
    </w:tblGrid>
    <w:tr w:rsidR="002F73CD" w:rsidRPr="002F73CD" w:rsidTr="00533D37">
      <w:tc>
        <w:tcPr>
          <w:tcW w:w="3258" w:type="dxa"/>
        </w:tcPr>
        <w:p w:rsidR="002F73CD" w:rsidRPr="002F73CD" w:rsidRDefault="002F73CD" w:rsidP="002F73CD">
          <w:pPr>
            <w:tabs>
              <w:tab w:val="center" w:pos="4680"/>
              <w:tab w:val="right" w:pos="9360"/>
            </w:tabs>
            <w:suppressAutoHyphens w:val="0"/>
            <w:rPr>
              <w:rFonts w:asciiTheme="minorHAnsi" w:eastAsiaTheme="minorHAnsi" w:hAnsiTheme="minorHAnsi" w:cstheme="minorBidi"/>
              <w:szCs w:val="22"/>
              <w:lang w:eastAsia="en-US"/>
            </w:rPr>
          </w:pPr>
          <w:r w:rsidRPr="002F73CD">
            <w:rPr>
              <w:rFonts w:asciiTheme="minorHAnsi" w:eastAsiaTheme="minorHAnsi" w:hAnsiTheme="minorHAnsi" w:cstheme="minorBidi"/>
              <w:szCs w:val="22"/>
              <w:lang w:eastAsia="en-US"/>
            </w:rPr>
            <w:t>Control Room Operations Manual</w:t>
          </w:r>
        </w:p>
      </w:tc>
      <w:tc>
        <w:tcPr>
          <w:tcW w:w="3126" w:type="dxa"/>
        </w:tcPr>
        <w:p w:rsidR="002F73CD" w:rsidRPr="002F73CD" w:rsidRDefault="002F73CD" w:rsidP="002F73CD">
          <w:pPr>
            <w:tabs>
              <w:tab w:val="center" w:pos="4680"/>
              <w:tab w:val="right" w:pos="9360"/>
            </w:tabs>
            <w:suppressAutoHyphens w:val="0"/>
            <w:jc w:val="center"/>
            <w:rPr>
              <w:rFonts w:asciiTheme="minorHAnsi" w:eastAsiaTheme="minorHAnsi" w:hAnsiTheme="minorHAnsi" w:cstheme="minorBidi"/>
              <w:szCs w:val="22"/>
              <w:lang w:eastAsia="en-US"/>
            </w:rPr>
          </w:pPr>
          <w:r w:rsidRPr="002F73CD">
            <w:rPr>
              <w:rFonts w:asciiTheme="minorHAnsi" w:eastAsiaTheme="minorHAnsi" w:hAnsiTheme="minorHAnsi" w:cstheme="minorBidi"/>
              <w:szCs w:val="22"/>
              <w:lang w:eastAsia="en-US"/>
            </w:rPr>
            <w:t>July 2014</w:t>
          </w:r>
        </w:p>
      </w:tc>
      <w:tc>
        <w:tcPr>
          <w:tcW w:w="3192" w:type="dxa"/>
        </w:tcPr>
        <w:p w:rsidR="002F73CD" w:rsidRPr="002F73CD" w:rsidRDefault="002F73CD" w:rsidP="002F73CD">
          <w:pPr>
            <w:tabs>
              <w:tab w:val="center" w:pos="4680"/>
              <w:tab w:val="right" w:pos="9360"/>
            </w:tabs>
            <w:suppressAutoHyphens w:val="0"/>
            <w:rPr>
              <w:rFonts w:asciiTheme="minorHAnsi" w:eastAsiaTheme="minorHAnsi" w:hAnsiTheme="minorHAnsi" w:cstheme="minorBidi"/>
              <w:szCs w:val="22"/>
              <w:lang w:eastAsia="en-US"/>
            </w:rPr>
          </w:pPr>
        </w:p>
      </w:tc>
    </w:tr>
  </w:tbl>
  <w:p w:rsidR="00DD30A5" w:rsidRPr="002F73CD" w:rsidRDefault="00DD30A5" w:rsidP="002F73C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75EC" w:rsidRDefault="00E675EC" w:rsidP="00DA459E">
      <w:r>
        <w:separator/>
      </w:r>
    </w:p>
  </w:footnote>
  <w:footnote w:type="continuationSeparator" w:id="0">
    <w:p w:rsidR="00E675EC" w:rsidRDefault="00E675EC" w:rsidP="00DA459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F73CD" w:rsidRPr="002F73CD" w:rsidRDefault="000C585F" w:rsidP="002F73CD">
    <w:pPr>
      <w:suppressAutoHyphens w:val="0"/>
      <w:spacing w:after="200" w:line="276" w:lineRule="auto"/>
      <w:jc w:val="right"/>
      <w:rPr>
        <w:rFonts w:asciiTheme="minorHAnsi" w:eastAsiaTheme="minorHAnsi" w:hAnsiTheme="minorHAnsi" w:cs="Arial"/>
        <w:sz w:val="44"/>
        <w:szCs w:val="44"/>
        <w:lang w:eastAsia="en-US"/>
      </w:rPr>
    </w:pPr>
    <w:r w:rsidRPr="000C585F">
      <w:rPr>
        <w:rFonts w:asciiTheme="minorHAnsi" w:eastAsiaTheme="minorHAnsi" w:hAnsiTheme="minorHAnsi" w:cstheme="minorBidi"/>
        <w:noProof/>
        <w:sz w:val="48"/>
        <w:szCs w:val="48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left:0;text-align:left;margin-left:75pt;margin-top:28.5pt;width:392.25pt;height:.05pt;flip:x;z-index:251657728" o:connectortype="straight"/>
      </w:pict>
    </w:r>
    <w:r w:rsidR="002F73CD" w:rsidRPr="002F73CD">
      <w:rPr>
        <w:rFonts w:asciiTheme="minorHAnsi" w:eastAsiaTheme="minorHAnsi" w:hAnsiTheme="minorHAnsi" w:cstheme="minorBidi"/>
        <w:noProof/>
        <w:sz w:val="22"/>
        <w:szCs w:val="22"/>
        <w:lang w:eastAsia="en-US"/>
      </w:rPr>
      <w:drawing>
        <wp:anchor distT="0" distB="0" distL="114300" distR="114300" simplePos="0" relativeHeight="251656704" behindDoc="1" locked="0" layoutInCell="1" allowOverlap="1">
          <wp:simplePos x="0" y="0"/>
          <wp:positionH relativeFrom="column">
            <wp:posOffset>-76200</wp:posOffset>
          </wp:positionH>
          <wp:positionV relativeFrom="paragraph">
            <wp:posOffset>-133350</wp:posOffset>
          </wp:positionV>
          <wp:extent cx="895350" cy="895350"/>
          <wp:effectExtent l="19050" t="0" r="0" b="0"/>
          <wp:wrapTight wrapText="bothSides">
            <wp:wrapPolygon edited="0">
              <wp:start x="-460" y="0"/>
              <wp:lineTo x="-460" y="21140"/>
              <wp:lineTo x="21600" y="21140"/>
              <wp:lineTo x="21600" y="0"/>
              <wp:lineTo x="-460" y="0"/>
            </wp:wrapPolygon>
          </wp:wrapTight>
          <wp:docPr id="3" name="Picture 6" descr="http://www.dot.wisconsin.gov/library/publications/images/wisdot-agency-name-logo-red-blue-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http://www.dot.wisconsin.gov/library/publications/images/wisdot-agency-name-logo-red-blue-rgb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8953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2F73CD" w:rsidRPr="002F73CD">
      <w:rPr>
        <w:rFonts w:asciiTheme="minorHAnsi" w:eastAsiaTheme="minorHAnsi" w:hAnsiTheme="minorHAnsi" w:cstheme="minorBidi"/>
        <w:sz w:val="48"/>
        <w:szCs w:val="48"/>
        <w:lang w:eastAsia="en-US"/>
      </w:rPr>
      <w:t xml:space="preserve"> </w:t>
    </w:r>
    <w:r w:rsidR="002F73CD" w:rsidRPr="002F73CD">
      <w:rPr>
        <w:rFonts w:asciiTheme="minorHAnsi" w:eastAsiaTheme="minorHAnsi" w:hAnsiTheme="minorHAnsi" w:cs="Arial"/>
        <w:sz w:val="44"/>
        <w:szCs w:val="44"/>
        <w:lang w:eastAsia="en-US"/>
      </w:rPr>
      <w:t>Emergency Transportation Operations (ETO)</w:t>
    </w:r>
  </w:p>
  <w:p w:rsidR="002F73CD" w:rsidRPr="002F73CD" w:rsidRDefault="002F73CD" w:rsidP="002F73CD">
    <w:pPr>
      <w:tabs>
        <w:tab w:val="center" w:pos="4680"/>
        <w:tab w:val="right" w:pos="9360"/>
      </w:tabs>
      <w:suppressAutoHyphens w:val="0"/>
      <w:rPr>
        <w:rFonts w:asciiTheme="minorHAnsi" w:eastAsiaTheme="minorHAnsi" w:hAnsiTheme="minorHAnsi" w:cstheme="minorBidi"/>
        <w:sz w:val="22"/>
        <w:szCs w:val="22"/>
        <w:lang w:eastAsia="en-US"/>
      </w:rPr>
    </w:pPr>
  </w:p>
  <w:p w:rsidR="00DD30A5" w:rsidRDefault="00DD30A5">
    <w:pPr>
      <w:pStyle w:val="BodyText"/>
      <w:rPr>
        <w:sz w:val="3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37"/>
    <w:multiLevelType w:val="singleLevel"/>
    <w:tmpl w:val="00000037"/>
    <w:name w:val="WW8Num55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/>
        <w:sz w:val="24"/>
        <w:szCs w:val="24"/>
      </w:rPr>
    </w:lvl>
  </w:abstractNum>
  <w:abstractNum w:abstractNumId="1">
    <w:nsid w:val="00000060"/>
    <w:multiLevelType w:val="multilevel"/>
    <w:tmpl w:val="00000060"/>
    <w:name w:val="WW8Num96"/>
    <w:lvl w:ilvl="0">
      <w:start w:val="1"/>
      <w:numFmt w:val="upperLetter"/>
      <w:lvlText w:val="%1."/>
      <w:lvlJc w:val="left"/>
      <w:pPr>
        <w:tabs>
          <w:tab w:val="num" w:pos="360"/>
        </w:tabs>
      </w:pPr>
    </w:lvl>
    <w:lvl w:ilvl="1">
      <w:start w:val="1"/>
      <w:numFmt w:val="decimal"/>
      <w:lvlText w:val="%2)"/>
      <w:lvlJc w:val="left"/>
      <w:pPr>
        <w:tabs>
          <w:tab w:val="num" w:pos="720"/>
        </w:tabs>
      </w:pPr>
    </w:lvl>
    <w:lvl w:ilvl="2">
      <w:start w:val="1"/>
      <w:numFmt w:val="lowerLetter"/>
      <w:lvlText w:val="%3)"/>
      <w:lvlJc w:val="left"/>
      <w:pPr>
        <w:tabs>
          <w:tab w:val="num" w:pos="1080"/>
        </w:tabs>
      </w:pPr>
    </w:lvl>
    <w:lvl w:ilvl="3">
      <w:start w:val="1"/>
      <w:numFmt w:val="decimal"/>
      <w:lvlText w:val="(%4)"/>
      <w:lvlJc w:val="left"/>
      <w:pPr>
        <w:tabs>
          <w:tab w:val="num" w:pos="1440"/>
        </w:tabs>
      </w:pPr>
    </w:lvl>
    <w:lvl w:ilvl="4">
      <w:start w:val="1"/>
      <w:numFmt w:val="lowerLetter"/>
      <w:lvlText w:val="(%5)"/>
      <w:lvlJc w:val="left"/>
      <w:pPr>
        <w:tabs>
          <w:tab w:val="num" w:pos="1800"/>
        </w:tabs>
      </w:pPr>
    </w:lvl>
    <w:lvl w:ilvl="5">
      <w:start w:val="1"/>
      <w:numFmt w:val="lowerRoman"/>
      <w:lvlText w:val="(%6)"/>
      <w:lvlJc w:val="left"/>
      <w:pPr>
        <w:tabs>
          <w:tab w:val="num" w:pos="2160"/>
        </w:tabs>
      </w:pPr>
    </w:lvl>
    <w:lvl w:ilvl="6">
      <w:start w:val="1"/>
      <w:numFmt w:val="decimal"/>
      <w:lvlText w:val="%7."/>
      <w:lvlJc w:val="left"/>
      <w:pPr>
        <w:tabs>
          <w:tab w:val="num" w:pos="2520"/>
        </w:tabs>
      </w:pPr>
    </w:lvl>
    <w:lvl w:ilvl="7">
      <w:start w:val="1"/>
      <w:numFmt w:val="lowerLetter"/>
      <w:lvlText w:val="%8."/>
      <w:lvlJc w:val="left"/>
      <w:pPr>
        <w:tabs>
          <w:tab w:val="num" w:pos="2880"/>
        </w:tabs>
      </w:pPr>
    </w:lvl>
    <w:lvl w:ilvl="8">
      <w:start w:val="1"/>
      <w:numFmt w:val="lowerRoman"/>
      <w:lvlText w:val="%9."/>
      <w:lvlJc w:val="left"/>
      <w:pPr>
        <w:tabs>
          <w:tab w:val="num" w:pos="3240"/>
        </w:tabs>
      </w:pPr>
    </w:lvl>
  </w:abstractNum>
  <w:abstractNum w:abstractNumId="2">
    <w:nsid w:val="11F3398F"/>
    <w:multiLevelType w:val="hybridMultilevel"/>
    <w:tmpl w:val="E9DC2F04"/>
    <w:lvl w:ilvl="0" w:tplc="10609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87C7C6C">
      <w:start w:val="705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36C4D64">
      <w:start w:val="705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D7C37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BE8B56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428AE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D682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07CB5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8A808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6306176"/>
    <w:multiLevelType w:val="hybridMultilevel"/>
    <w:tmpl w:val="91BC6F42"/>
    <w:lvl w:ilvl="0" w:tplc="ACF00DF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4631B5"/>
    <w:multiLevelType w:val="hybridMultilevel"/>
    <w:tmpl w:val="D4EA9190"/>
    <w:lvl w:ilvl="0" w:tplc="04090015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D5A17E7"/>
    <w:multiLevelType w:val="hybridMultilevel"/>
    <w:tmpl w:val="7F429E9C"/>
    <w:lvl w:ilvl="0" w:tplc="7710399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CDEBCE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852357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A67E1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06074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558645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D526EA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51E939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6C8722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5934F78"/>
    <w:multiLevelType w:val="hybridMultilevel"/>
    <w:tmpl w:val="E78EF8D0"/>
    <w:lvl w:ilvl="0" w:tplc="E5D600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5C12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2691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6833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FC49D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4006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627A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BEA9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A9C131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46FE2F58"/>
    <w:multiLevelType w:val="hybridMultilevel"/>
    <w:tmpl w:val="15384B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1A41822"/>
    <w:multiLevelType w:val="hybridMultilevel"/>
    <w:tmpl w:val="2B70D30C"/>
    <w:lvl w:ilvl="0" w:tplc="22DCC3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DE282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A0234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26BB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BC76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8465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C3A5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862C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0A56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66867FEF"/>
    <w:multiLevelType w:val="hybridMultilevel"/>
    <w:tmpl w:val="89EA766E"/>
    <w:lvl w:ilvl="0" w:tplc="F508CB8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C06BA7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B8E7D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B46483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8F2A09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93EA1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14E48E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D8AE2F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6D2424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DE11ECC"/>
    <w:multiLevelType w:val="hybridMultilevel"/>
    <w:tmpl w:val="830E4FA2"/>
    <w:lvl w:ilvl="0" w:tplc="04090015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6F6B28AD"/>
    <w:multiLevelType w:val="hybridMultilevel"/>
    <w:tmpl w:val="5628D37E"/>
    <w:lvl w:ilvl="0" w:tplc="0868E9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4C2BBA0">
      <w:start w:val="1067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63AB1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EC09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E0C26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6298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8CD4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3B88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AC44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76D63101"/>
    <w:multiLevelType w:val="hybridMultilevel"/>
    <w:tmpl w:val="65282C9C"/>
    <w:lvl w:ilvl="0" w:tplc="A61067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DEC13E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AEC06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922A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CAA8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3ED0B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162B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6A26C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6CB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10"/>
  </w:num>
  <w:num w:numId="5">
    <w:abstractNumId w:val="3"/>
  </w:num>
  <w:num w:numId="6">
    <w:abstractNumId w:val="11"/>
  </w:num>
  <w:num w:numId="7">
    <w:abstractNumId w:val="7"/>
  </w:num>
  <w:num w:numId="8">
    <w:abstractNumId w:val="8"/>
  </w:num>
  <w:num w:numId="9">
    <w:abstractNumId w:val="5"/>
  </w:num>
  <w:num w:numId="10">
    <w:abstractNumId w:val="2"/>
  </w:num>
  <w:num w:numId="11">
    <w:abstractNumId w:val="6"/>
  </w:num>
  <w:num w:numId="12">
    <w:abstractNumId w:val="9"/>
  </w:num>
  <w:num w:numId="13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4102"/>
    <o:shapelayout v:ext="edit">
      <o:idmap v:ext="edit" data="4"/>
      <o:rules v:ext="edit">
        <o:r id="V:Rule2" type="connector" idref="#_x0000_s4098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CF416D"/>
    <w:rsid w:val="00032843"/>
    <w:rsid w:val="000C585F"/>
    <w:rsid w:val="000D0400"/>
    <w:rsid w:val="001327FD"/>
    <w:rsid w:val="001A05F7"/>
    <w:rsid w:val="001C1504"/>
    <w:rsid w:val="0023592E"/>
    <w:rsid w:val="00251A09"/>
    <w:rsid w:val="002948C2"/>
    <w:rsid w:val="002F73CD"/>
    <w:rsid w:val="003520F3"/>
    <w:rsid w:val="003F31FA"/>
    <w:rsid w:val="0042180A"/>
    <w:rsid w:val="00463C38"/>
    <w:rsid w:val="0052616E"/>
    <w:rsid w:val="00530266"/>
    <w:rsid w:val="005C0D21"/>
    <w:rsid w:val="005D3FC4"/>
    <w:rsid w:val="006B61A6"/>
    <w:rsid w:val="00791F24"/>
    <w:rsid w:val="007D212D"/>
    <w:rsid w:val="00826E63"/>
    <w:rsid w:val="0088736C"/>
    <w:rsid w:val="008911A3"/>
    <w:rsid w:val="009145CC"/>
    <w:rsid w:val="00932D6C"/>
    <w:rsid w:val="00993FB9"/>
    <w:rsid w:val="00A24E40"/>
    <w:rsid w:val="00A9330C"/>
    <w:rsid w:val="00B000A3"/>
    <w:rsid w:val="00B46788"/>
    <w:rsid w:val="00BA4B4E"/>
    <w:rsid w:val="00BD6C88"/>
    <w:rsid w:val="00BE1171"/>
    <w:rsid w:val="00BF1190"/>
    <w:rsid w:val="00C5110D"/>
    <w:rsid w:val="00CF416D"/>
    <w:rsid w:val="00D56BDA"/>
    <w:rsid w:val="00D84A6A"/>
    <w:rsid w:val="00DA459E"/>
    <w:rsid w:val="00DD30A5"/>
    <w:rsid w:val="00DD3AB1"/>
    <w:rsid w:val="00DD699F"/>
    <w:rsid w:val="00E675EC"/>
    <w:rsid w:val="00E77D85"/>
    <w:rsid w:val="00E9436F"/>
    <w:rsid w:val="00E954E5"/>
    <w:rsid w:val="00E95EAB"/>
    <w:rsid w:val="00F81732"/>
    <w:rsid w:val="00FD09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416D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Heading1">
    <w:name w:val="heading 1"/>
    <w:basedOn w:val="ListNumber"/>
    <w:next w:val="Normal"/>
    <w:link w:val="Heading1Char"/>
    <w:qFormat/>
    <w:rsid w:val="00CF416D"/>
    <w:pPr>
      <w:keepNext/>
      <w:tabs>
        <w:tab w:val="clear" w:pos="720"/>
      </w:tabs>
      <w:contextualSpacing w:val="0"/>
      <w:jc w:val="center"/>
      <w:outlineLvl w:val="0"/>
    </w:pPr>
    <w:rPr>
      <w:rFonts w:ascii="Arial" w:hAnsi="Arial"/>
      <w:b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F416D"/>
    <w:rPr>
      <w:rFonts w:ascii="Arial" w:eastAsia="Times New Roman" w:hAnsi="Arial" w:cs="Times New Roman"/>
      <w:b/>
      <w:sz w:val="28"/>
      <w:szCs w:val="20"/>
      <w:lang w:eastAsia="ar-SA"/>
    </w:rPr>
  </w:style>
  <w:style w:type="paragraph" w:styleId="BodyText">
    <w:name w:val="Body Text"/>
    <w:basedOn w:val="Normal"/>
    <w:link w:val="BodyTextChar"/>
    <w:semiHidden/>
    <w:rsid w:val="00CF416D"/>
    <w:pPr>
      <w:jc w:val="both"/>
    </w:pPr>
  </w:style>
  <w:style w:type="character" w:customStyle="1" w:styleId="BodyTextChar">
    <w:name w:val="Body Text Char"/>
    <w:basedOn w:val="DefaultParagraphFont"/>
    <w:link w:val="BodyText"/>
    <w:semiHidden/>
    <w:rsid w:val="00CF416D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Header">
    <w:name w:val="header"/>
    <w:basedOn w:val="Normal"/>
    <w:link w:val="HeaderChar"/>
    <w:uiPriority w:val="99"/>
    <w:rsid w:val="00CF416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F416D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Footer">
    <w:name w:val="footer"/>
    <w:basedOn w:val="Normal"/>
    <w:link w:val="FooterChar"/>
    <w:semiHidden/>
    <w:rsid w:val="00CF416D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semiHidden/>
    <w:rsid w:val="00CF416D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ListNumber">
    <w:name w:val="List Number"/>
    <w:basedOn w:val="Normal"/>
    <w:uiPriority w:val="99"/>
    <w:semiHidden/>
    <w:unhideWhenUsed/>
    <w:rsid w:val="00CF416D"/>
    <w:pPr>
      <w:tabs>
        <w:tab w:val="num" w:pos="720"/>
      </w:tabs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DD30A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D30A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D30A5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D30A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D30A5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30A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30A5"/>
    <w:rPr>
      <w:rFonts w:ascii="Tahoma" w:eastAsia="Times New Roman" w:hAnsi="Tahoma" w:cs="Tahoma"/>
      <w:sz w:val="16"/>
      <w:szCs w:val="16"/>
      <w:lang w:eastAsia="ar-SA"/>
    </w:rPr>
  </w:style>
  <w:style w:type="character" w:styleId="Hyperlink">
    <w:name w:val="Hyperlink"/>
    <w:basedOn w:val="DefaultParagraphFont"/>
    <w:uiPriority w:val="99"/>
    <w:unhideWhenUsed/>
    <w:rsid w:val="000D0400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FD09C1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F1190"/>
    <w:pPr>
      <w:suppressAutoHyphens w:val="0"/>
      <w:spacing w:before="100" w:beforeAutospacing="1" w:after="100" w:afterAutospacing="1"/>
    </w:pPr>
    <w:rPr>
      <w:szCs w:val="24"/>
      <w:lang w:eastAsia="en-US"/>
    </w:rPr>
  </w:style>
  <w:style w:type="table" w:styleId="TableGrid">
    <w:name w:val="Table Grid"/>
    <w:basedOn w:val="TableNormal"/>
    <w:uiPriority w:val="59"/>
    <w:rsid w:val="002F73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04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3627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40648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36928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9305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77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870252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297290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32874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191426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0761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66733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222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9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859379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23548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076559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8236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804774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74402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91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98827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62121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43994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41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38267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292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69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5779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454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27268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80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4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9143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023770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123192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002356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505158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350573">
          <w:marLeft w:val="547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49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5329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079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85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70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837611DDAA474490A068655AF7EB6D" ma:contentTypeVersion="0" ma:contentTypeDescription="Create a new document." ma:contentTypeScope="" ma:versionID="c874355ea57b1c1e37a07a41909d49c3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c64490b4aec6201516c3a874156f37b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82D62C-485B-4DCB-AE52-D244FFA8EBB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962A6D6D-91D8-495B-9E52-ABDCF791D83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5404B5C-08D2-40E2-82A0-ED9312A4973C}">
  <ds:schemaRefs>
    <ds:schemaRef ds:uri="http://schemas.microsoft.com/office/2006/documentManagement/types"/>
    <ds:schemaRef ds:uri="http://purl.org/dc/elements/1.1/"/>
    <ds:schemaRef ds:uri="http://purl.org/dc/terms/"/>
    <ds:schemaRef ds:uri="http://purl.org/dc/dcmitype/"/>
    <ds:schemaRef ds:uri="http://www.w3.org/XML/1998/namespace"/>
    <ds:schemaRef ds:uri="http://schemas.microsoft.com/office/2006/metadata/properties"/>
    <ds:schemaRef ds:uri="http://schemas.openxmlformats.org/package/2006/metadata/core-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0DA21F4-73F9-4CD5-92C7-5F9DF3E140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362</Words>
  <Characters>2067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ETO </vt:lpstr>
    </vt:vector>
  </TitlesOfParts>
  <Company>Wisconsin Department of Transportation</Company>
  <LinksUpToDate>false</LinksUpToDate>
  <CharactersWithSpaces>2425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ETO</dc:title>
  <dc:creator>MSCCGC</dc:creator>
  <cp:lastModifiedBy>25765</cp:lastModifiedBy>
  <cp:revision>4</cp:revision>
  <cp:lastPrinted>2011-12-27T22:37:00Z</cp:lastPrinted>
  <dcterms:created xsi:type="dcterms:W3CDTF">2014-07-14T16:52:00Z</dcterms:created>
  <dcterms:modified xsi:type="dcterms:W3CDTF">2014-07-29T21:54:00Z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0x010100D0837611DDAA474490A068655AF7EB6D</vt:lpwstr>
  </property>
</Properties>
</file>